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 </w:t>
      </w:r>
    </w:p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Федеральный закон "О государственной регистрации недвижимости" от 13.07.2015 N 218-ФЗ - </w:t>
      </w:r>
      <w:hyperlink r:id="rId4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http://www.consultant.ru/document/cons_doc_LAW_182661/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Официальный сайт Росреестра - </w:t>
      </w:r>
      <w:hyperlink r:id="rId5" w:tgtFrame="_blank" w:history="1">
        <w:r>
          <w:rPr>
            <w:rStyle w:val="a4"/>
            <w:rFonts w:ascii="Arial" w:hAnsi="Arial" w:cs="Arial"/>
            <w:color w:val="23527C"/>
            <w:sz w:val="30"/>
            <w:szCs w:val="30"/>
          </w:rPr>
          <w:t>https://rosreestr.gov.ru/activity/okazanie-gosudarstvennykh-uslug/kadastrovyy-uchet-i-ili-registratsiya-prav-/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Реестр кадастровых инженеров - </w:t>
      </w:r>
      <w:hyperlink r:id="rId6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https://rosreestr.gov.ru/wps/portal/p/cc_ib_portal_services/cc_ib_sro_reestrs</w:t>
        </w:r>
      </w:hyperlink>
    </w:p>
    <w:p w:rsidR="00057289" w:rsidRDefault="00057289" w:rsidP="0005728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Федеральный закон "О кадастровой деятельности" от 24.07.2007 N 221-ФЗ - </w:t>
      </w:r>
      <w:hyperlink r:id="rId7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http://www.consultant.ru/document/cons_doc_LAW_70088/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FE55A0" w:rsidRDefault="00057289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C"/>
    <w:rsid w:val="00057289"/>
    <w:rsid w:val="004D22FC"/>
    <w:rsid w:val="007107EC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A75-1A2B-4771-B640-F7E8B33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00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ib_portal_services/cc_ib_sro_reestrs" TargetMode="External"/><Relationship Id="rId5" Type="http://schemas.openxmlformats.org/officeDocument/2006/relationships/hyperlink" Target="https://rosreestr.gov.ru/activity/okazanie-gosudarstvennykh-uslug/kadastrovyy-uchet-i-ili-registratsiya-prav-/" TargetMode="Externa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2022-11-30T10:38:00Z</dcterms:created>
  <dcterms:modified xsi:type="dcterms:W3CDTF">2022-11-30T10:38:00Z</dcterms:modified>
</cp:coreProperties>
</file>